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E1F" w:rsidRPr="004E3E1F" w:rsidRDefault="004E3E1F" w:rsidP="004E3E1F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00589B"/>
          <w:sz w:val="33"/>
          <w:szCs w:val="33"/>
          <w:lang w:eastAsia="ru-RU"/>
        </w:rPr>
      </w:pPr>
      <w:proofErr w:type="gramStart"/>
      <w:r w:rsidRPr="004E3E1F">
        <w:rPr>
          <w:rFonts w:ascii="Montserrat" w:eastAsia="Times New Roman" w:hAnsi="Montserrat" w:cs="Times New Roman"/>
          <w:b/>
          <w:bCs/>
          <w:color w:val="00589B"/>
          <w:sz w:val="33"/>
          <w:szCs w:val="33"/>
          <w:lang w:eastAsia="ru-RU"/>
        </w:rPr>
        <w:t xml:space="preserve">Распоряжение </w:t>
      </w:r>
      <w:proofErr w:type="spellStart"/>
      <w:r w:rsidRPr="004E3E1F">
        <w:rPr>
          <w:rFonts w:ascii="Montserrat" w:eastAsia="Times New Roman" w:hAnsi="Montserrat" w:cs="Times New Roman"/>
          <w:b/>
          <w:bCs/>
          <w:color w:val="00589B"/>
          <w:sz w:val="33"/>
          <w:szCs w:val="33"/>
          <w:lang w:eastAsia="ru-RU"/>
        </w:rPr>
        <w:t>Минпросвещения</w:t>
      </w:r>
      <w:proofErr w:type="spellEnd"/>
      <w:r w:rsidRPr="004E3E1F">
        <w:rPr>
          <w:rFonts w:ascii="Montserrat" w:eastAsia="Times New Roman" w:hAnsi="Montserrat" w:cs="Times New Roman"/>
          <w:b/>
          <w:bCs/>
          <w:color w:val="00589B"/>
          <w:sz w:val="33"/>
          <w:szCs w:val="33"/>
          <w:lang w:eastAsia="ru-RU"/>
        </w:rPr>
        <w:t xml:space="preserve"> России от 15.01.2020 N Р-5 "О внесении изменений в распоряжение Министерства просвещения Российской Федерации от 17 декабря 2019 г. N Р-133 об утверждении методических рекомендаций по созданию (обновлению)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</w:t>
      </w:r>
      <w:proofErr w:type="gramEnd"/>
      <w:r w:rsidRPr="004E3E1F">
        <w:rPr>
          <w:rFonts w:ascii="Montserrat" w:eastAsia="Times New Roman" w:hAnsi="Montserrat" w:cs="Times New Roman"/>
          <w:b/>
          <w:bCs/>
          <w:color w:val="00589B"/>
          <w:sz w:val="33"/>
          <w:szCs w:val="33"/>
          <w:lang w:eastAsia="ru-RU"/>
        </w:rPr>
        <w:t xml:space="preserve"> профилей в рамках региональных проектов, обеспечивающих достижение целей, показателей и результата федерального проекта "Современная школа" национального проекта "Образование"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bookmarkStart w:id="0" w:name="100001"/>
      <w:bookmarkEnd w:id="0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МИНИСТЕРСТВО ПРОСВЕЩЕНИЯ РОССИЙСКОЙ ФЕДЕРАЦИИ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bookmarkStart w:id="1" w:name="100002"/>
      <w:bookmarkEnd w:id="1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РАСПОРЯЖЕНИЕ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от 15 января 2020 г. N Р-5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bookmarkStart w:id="2" w:name="100003"/>
      <w:bookmarkEnd w:id="2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 ВНЕСЕНИИ ИЗМЕНЕНИЙ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 РАСПОРЯЖЕНИЕ МИНИСТЕРСТВА ПРОСВЕЩЕНИЯ </w:t>
      </w:r>
      <w:proofErr w:type="gramStart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РОССИЙСКОЙ</w:t>
      </w:r>
      <w:proofErr w:type="gramEnd"/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ФЕДЕРАЦИИ ОТ 17 ДЕКАБРЯ 2019 Г. N Р-133 ОБ УТВЕРЖДЕНИИ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МЕТОДИЧЕСКИХ РЕКОМЕНДАЦИЙ ПО СОЗДАНИЮ (ОБНОВЛЕНИЮ)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МАТЕРИАЛЬНО-ТЕХНИЧЕСКОЙ БАЗЫ </w:t>
      </w:r>
      <w:proofErr w:type="gramStart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ОБЩЕОБРАЗОВАТЕЛЬНЫХ</w:t>
      </w:r>
      <w:proofErr w:type="gramEnd"/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ОРГАНИЗАЦИЙ, РАСПОЛОЖЕННЫХ В СЕЛЬСКОЙ МЕСТНОСТИ И МАЛЫХ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ГОРОДАХ, ДЛЯ ФОРМИРОВАНИЯ </w:t>
      </w:r>
      <w:proofErr w:type="gramStart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У</w:t>
      </w:r>
      <w:proofErr w:type="gramEnd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ОБУЧАЮЩИХСЯ СОВРЕМЕННЫХ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ТЕХНОЛОГИЧЕСКИХ И ГУМАНИТАРНЫХ НАВЫКОВ ПРИ РЕАЛИЗАЦИИ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ОСНОВНЫХ И ДОПОЛНИТЕЛЬНЫХ ОБЩЕОБРАЗОВАТЕЛЬНЫХ ПРОГРАММ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ЦИФРОВОГО И ГУМАНИТАРНОГО ПРОФИЛЕЙ В РАМКАХ РЕГИОНАЛЬНЫХ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ПРОЕКТОВ, ОБЕСПЕЧИВАЮЩИХ ДОСТИЖЕНИЕ ЦЕЛЕЙ, ПОКАЗАТЕЛЕЙ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И РЕЗУЛЬТАТА ФЕДЕРАЛЬНОГО ПРОЕКТА "СОВРЕМЕННАЯ ШКОЛА"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НАЦИОНАЛЬНОГО ПРОЕКТА "ОБРАЗОВАНИЕ"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bookmarkStart w:id="3" w:name="100004"/>
      <w:bookmarkEnd w:id="3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связи с необходимостью уточнения примерного перечня средств обучения и воспитания в целях создания (обновления)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профилей: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bookmarkStart w:id="4" w:name="100005"/>
      <w:bookmarkEnd w:id="4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1. </w:t>
      </w:r>
      <w:proofErr w:type="gramStart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Изложить в новой редакции </w:t>
      </w:r>
      <w:hyperlink r:id="rId4" w:anchor="100229" w:history="1">
        <w:r w:rsidRPr="004E3E1F">
          <w:rPr>
            <w:rFonts w:ascii="Arial" w:eastAsia="Times New Roman" w:hAnsi="Arial" w:cs="Arial"/>
            <w:color w:val="4272D7"/>
            <w:sz w:val="27"/>
            <w:u w:val="single"/>
            <w:lang w:eastAsia="ru-RU"/>
          </w:rPr>
          <w:t>приложение N 4</w:t>
        </w:r>
      </w:hyperlink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к Методическим рекомендациям по созданию (обновлению)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 в рамках региональных проектов, обеспечивающих достижение целей, показателей и результата федерального проекта "Современная школа" национального проекта</w:t>
      </w:r>
      <w:proofErr w:type="gramEnd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"Образование", утвержденным распоряжением Министерства просвещения Российской Федерации от 17 декабря 2019 г. N Р-133, согласно </w:t>
      </w:r>
      <w:hyperlink r:id="rId5" w:anchor="100009" w:history="1">
        <w:r w:rsidRPr="004E3E1F">
          <w:rPr>
            <w:rFonts w:ascii="Arial" w:eastAsia="Times New Roman" w:hAnsi="Arial" w:cs="Arial"/>
            <w:color w:val="4272D7"/>
            <w:sz w:val="27"/>
            <w:u w:val="single"/>
            <w:lang w:eastAsia="ru-RU"/>
          </w:rPr>
          <w:t>приложению</w:t>
        </w:r>
      </w:hyperlink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к настоящему распоряжению.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bookmarkStart w:id="5" w:name="100006"/>
      <w:bookmarkEnd w:id="5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2. </w:t>
      </w:r>
      <w:proofErr w:type="gramStart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Контроль за</w:t>
      </w:r>
      <w:proofErr w:type="gramEnd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исполнением настоящего распоряжения оставляю за собой.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bookmarkStart w:id="6" w:name="100007"/>
      <w:bookmarkEnd w:id="6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Заместитель Министра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М.Н.РАКОВА</w:t>
      </w:r>
    </w:p>
    <w:p w:rsidR="004E3E1F" w:rsidRPr="004E3E1F" w:rsidRDefault="004E3E1F" w:rsidP="004E3E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4E3E1F" w:rsidRPr="004E3E1F" w:rsidRDefault="004E3E1F" w:rsidP="004E3E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4E3E1F" w:rsidRPr="004E3E1F" w:rsidRDefault="004E3E1F" w:rsidP="004E3E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bookmarkStart w:id="7" w:name="100008"/>
      <w:bookmarkEnd w:id="7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Приложение N 4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 Методическим рекомендациям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по созданию (обновлению)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материально-технической базы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общеобразовательных организаций,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proofErr w:type="gramStart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расположенных</w:t>
      </w:r>
      <w:proofErr w:type="gramEnd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в сельской местности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и малых городах, для формирования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у обучающихся современных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технологических и гуманитарных навыков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при реализации </w:t>
      </w:r>
      <w:proofErr w:type="gramStart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основных</w:t>
      </w:r>
      <w:proofErr w:type="gramEnd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и дополнительных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общеобразовательных программ </w:t>
      </w:r>
      <w:proofErr w:type="gramStart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цифрового</w:t>
      </w:r>
      <w:proofErr w:type="gramEnd"/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и </w:t>
      </w:r>
      <w:proofErr w:type="gramStart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гуманитарного</w:t>
      </w:r>
      <w:proofErr w:type="gramEnd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профилей в рамках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региональных проектов, обеспечивающих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достижение целей, показателей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и результата федерального проекта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"Современная школа" </w:t>
      </w:r>
      <w:proofErr w:type="gramStart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национального</w:t>
      </w:r>
      <w:proofErr w:type="gramEnd"/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проекта "Образование"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bookmarkStart w:id="8" w:name="100009"/>
      <w:bookmarkEnd w:id="8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ПРИМЕРНЫЙ ПЕРЕЧЕНЬ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СРЕДСТВ ОБУЧЕНИЯ И ВОСПИТАНИЯ В ЦЕЛЯХ СОЗДАНИЯ (ОБНОВЛЕНИЯ)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МАТЕРИАЛЬНО-ТЕХНИЧЕСКОЙ БАЗЫ </w:t>
      </w:r>
      <w:proofErr w:type="gramStart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ОБЩЕОБРАЗОВАТЕЛЬНЫХ</w:t>
      </w:r>
      <w:proofErr w:type="gramEnd"/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ОРГАНИЗАЦИЙ, РАСПОЛОЖЕННЫХ В СЕЛЬСКОЙ МЕСТНОСТИ И МАЛЫХ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ГОРОДАХ, ДЛЯ ФОРМИРОВАНИЯ </w:t>
      </w:r>
      <w:proofErr w:type="gramStart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У</w:t>
      </w:r>
      <w:proofErr w:type="gramEnd"/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ОБУЧАЮЩИХСЯ СОВРЕМЕННЫХ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ТЕХНОЛОГИЧЕСКИХ И ГУМАНИТАРНЫХ НАВЫКОВ ПРИ РЕАЛИЗАЦИИ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ОСНОВНЫХ И ДОПОЛНИТЕЛЬНЫХ ОБЩЕОБРАЗОВАТЕЛЬНЫХ ПРОГРАММ</w:t>
      </w:r>
    </w:p>
    <w:p w:rsidR="004E3E1F" w:rsidRPr="004E3E1F" w:rsidRDefault="004E3E1F" w:rsidP="004E3E1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4E3E1F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ЦИФРОВОГО И ГУМАНИТАРНОГО ПРОФИЛЕЙ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9"/>
        <w:gridCol w:w="3003"/>
        <w:gridCol w:w="4417"/>
        <w:gridCol w:w="1196"/>
      </w:tblGrid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9" w:name="100010"/>
            <w:bookmarkEnd w:id="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0" w:name="100011"/>
            <w:bookmarkEnd w:id="1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1" w:name="100012"/>
            <w:bookmarkEnd w:id="1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Краткие примерные технические характеристики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2" w:name="100013"/>
            <w:bookmarkEnd w:id="1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Ед.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изм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3" w:name="100014"/>
            <w:bookmarkEnd w:id="1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4" w:name="100015"/>
            <w:bookmarkEnd w:id="1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Урок технологии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5" w:name="100016"/>
            <w:bookmarkEnd w:id="1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1.1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6" w:name="100017"/>
            <w:bookmarkEnd w:id="1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Аддитивное оборудование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7" w:name="100018"/>
            <w:bookmarkEnd w:id="1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8" w:name="100019"/>
            <w:bookmarkEnd w:id="1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3D-принтер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9" w:name="100020"/>
            <w:bookmarkEnd w:id="1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Тип принтера: FDM, FFF.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Материал (основной): PLA.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Количество печатающих головок: </w:t>
            </w: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1.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Рабочий стол: с подогревом.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Рабочая область (XYZ): от 180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x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180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x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180 мм.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Максимальная скорость печати: не менее 150 мм/сек.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Минимальная толщина слоя: не более 20 мкм.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Закрытый корпус: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Охлаждение зоны печати: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0" w:name="100021"/>
            <w:bookmarkEnd w:id="2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1" w:name="100022"/>
            <w:bookmarkEnd w:id="2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1.1.2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2" w:name="100023"/>
            <w:bookmarkEnd w:id="2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Пластик для 3D-принтера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3" w:name="100024"/>
            <w:bookmarkEnd w:id="2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Материал: PLA,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соответствие п. 1.1.1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10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4" w:name="100025"/>
            <w:bookmarkEnd w:id="2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5" w:name="100026"/>
            <w:bookmarkEnd w:id="2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1.2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6" w:name="100027"/>
            <w:bookmarkEnd w:id="2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Компьютерное оборудование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7" w:name="100028"/>
            <w:bookmarkEnd w:id="2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1.2.1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8" w:name="100029"/>
            <w:bookmarkEnd w:id="2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МФУ (принтер, сканер, копир)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9" w:name="100030"/>
            <w:bookmarkEnd w:id="2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Тип устройства: МФУ.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Цветность: </w:t>
            </w:r>
            <w:proofErr w:type="gram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черно-белый</w:t>
            </w:r>
            <w:proofErr w:type="gram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Формат бумаги: не менее A4.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Технология печати: лазерная.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Разрешение печати: не менее 1200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x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1200 точек.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30" w:name="100031"/>
            <w:bookmarkEnd w:id="3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31" w:name="100032"/>
            <w:bookmarkEnd w:id="3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1.2.2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32" w:name="100033"/>
            <w:bookmarkEnd w:id="3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Ноутбук мобильного класса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33" w:name="100034"/>
            <w:bookmarkEnd w:id="3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Форм-фактор: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трансформер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Жесткая клавиатура: требуется.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Наличие русской раскладки клавиатуры: требуется.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Сенсорный экран: требуется.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Угол поворота сенсорного экрана (в случае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неотключаемой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клавиатуры): 360 градусов.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Диагональ сенсорного экрана: не менее 11 дюймов.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Производительность процессора (по тесту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PassMark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- CPU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BenchMark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http://www.cpubenchmark.net/): не менее 2100 единиц.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Объем оперативной памяти: не менее 4 Гб.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Объем накопителя SSD/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eMMC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: не менее 128 Гб.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Время автономной работы от батареи: не менее 7 часов.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Вес ноутбука: не более 1,45 кг.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Стилус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в комплекте поставки: требуется.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Корпус ноутбука должен быть специально подготовлен для безопасного использования в учебном процессе (иметь защитное стекло повышенной 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корпусе): требуется.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Предустановленная операционная система с графическим пользовательским интерфейсом, обеспечивающая работу распространенных </w:t>
            </w: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образовательных и общесистемных приложений: требуется.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10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34" w:name="100035"/>
            <w:bookmarkEnd w:id="3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35" w:name="100036"/>
            <w:bookmarkEnd w:id="3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1.3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36" w:name="100037"/>
            <w:bookmarkEnd w:id="3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Аккумуляторный и ручной инструмент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37" w:name="100038"/>
            <w:bookmarkEnd w:id="3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1.3.1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38" w:name="100039"/>
            <w:bookmarkEnd w:id="3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Аккумуляторная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дрель-винтоверт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39" w:name="100040"/>
            <w:bookmarkEnd w:id="3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Число аккумуляторов в комплекте: не менее 2.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Реверс: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Наличие двух скоростей.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2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40" w:name="100041"/>
            <w:bookmarkEnd w:id="4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41" w:name="100042"/>
            <w:bookmarkEnd w:id="4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1.3.2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42" w:name="100043"/>
            <w:bookmarkEnd w:id="4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Набор бит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43" w:name="100044"/>
            <w:bookmarkEnd w:id="4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Держатель бит: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Соответствие п. 1.3.1.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Количество бит в упаковке: не менее 25 шт.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 набора.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44" w:name="100045"/>
            <w:bookmarkEnd w:id="4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набор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45" w:name="100046"/>
            <w:bookmarkEnd w:id="4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1.3.3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46" w:name="100047"/>
            <w:bookmarkEnd w:id="4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Набор сверл универсальный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47" w:name="100048"/>
            <w:bookmarkEnd w:id="4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Типы обрабатываемой поверхности: камень, металл, дерево.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Соответствие п. 1.3.1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Количество сверл в упаковке: не менее 15 шт.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Минимальный диаметр: не более 3 мм.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 набора.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48" w:name="100049"/>
            <w:bookmarkEnd w:id="4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набор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49" w:name="100050"/>
            <w:bookmarkEnd w:id="4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1.3.4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50" w:name="100051"/>
            <w:bookmarkEnd w:id="5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Многофункциональный инструмент (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мультитул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51" w:name="100052"/>
            <w:bookmarkEnd w:id="51"/>
            <w:proofErr w:type="gram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Многофункциональный инструмент должен обеспечивать: сверление, шлифование, резьбу, гравировку, фрезерование, полировку и т.д.</w:t>
            </w:r>
            <w:proofErr w:type="gramEnd"/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Возможность закрепления цанги - </w:t>
            </w: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от 0,8 мм: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2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52" w:name="100053"/>
            <w:bookmarkEnd w:id="5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53" w:name="100054"/>
            <w:bookmarkEnd w:id="5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1.3.5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54" w:name="100055"/>
            <w:bookmarkEnd w:id="5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Клеевой пистолет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55" w:name="100056"/>
            <w:bookmarkEnd w:id="5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Функция регулировки температуры: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Диаметр клеевого стержня: 11 мм.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Питание от электросети: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Ножка-подставка: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3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56" w:name="100057"/>
            <w:bookmarkEnd w:id="5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57" w:name="100058"/>
            <w:bookmarkEnd w:id="5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1.3.6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58" w:name="100059"/>
            <w:bookmarkEnd w:id="5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Набор запасных стержней для клеевого пистолета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59" w:name="100060"/>
            <w:bookmarkEnd w:id="5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Совместимость с клеевым пистолетом, п. 1.3.5.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Количество стержней в наборе: не менее 10 шт.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3 наборов.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60" w:name="100061"/>
            <w:bookmarkEnd w:id="6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набор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61" w:name="100062"/>
            <w:bookmarkEnd w:id="6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1.3.7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62" w:name="100063"/>
            <w:bookmarkEnd w:id="6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Цифровой штангенциркуль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63" w:name="100064"/>
            <w:bookmarkEnd w:id="6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Материал: металл.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Корпус дисплея: пластик.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Глубиномер: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3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64" w:name="100065"/>
            <w:bookmarkEnd w:id="6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65" w:name="100066"/>
            <w:bookmarkEnd w:id="6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1.3.8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66" w:name="100067"/>
            <w:bookmarkEnd w:id="66"/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Электролобзик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67" w:name="100068"/>
            <w:bookmarkEnd w:id="6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Функция регулировки оборотов: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Скобовидная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рукоятка: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2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68" w:name="100069"/>
            <w:bookmarkEnd w:id="6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69" w:name="100070"/>
            <w:bookmarkEnd w:id="6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1.3.9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70" w:name="100071"/>
            <w:bookmarkEnd w:id="7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Набор универсальных пилок для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электролобзика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71" w:name="100072"/>
            <w:bookmarkEnd w:id="7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Совместимость с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электролобзиком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п. 1.3.8.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Количество пилок в наборе: не менее 5 шт.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2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72" w:name="100073"/>
            <w:bookmarkEnd w:id="7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73" w:name="100074"/>
            <w:bookmarkEnd w:id="7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1.3.10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74" w:name="100075"/>
            <w:bookmarkEnd w:id="7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Ручной лобзик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75" w:name="100076"/>
            <w:bookmarkEnd w:id="7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Глубина: не менее 280 мм.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Длина лезвия: не менее 120 мм.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5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76" w:name="100077"/>
            <w:bookmarkEnd w:id="7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77" w:name="100078"/>
            <w:bookmarkEnd w:id="7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1.3.11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78" w:name="100079"/>
            <w:bookmarkEnd w:id="7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Канцелярские ножи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79" w:name="100080"/>
            <w:bookmarkEnd w:id="7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Нож повышенной прочности в металлическом или пластиковом корпусе.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Металлические направляющие: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5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80" w:name="100081"/>
            <w:bookmarkEnd w:id="8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81" w:name="100082"/>
            <w:bookmarkEnd w:id="8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1.3.12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82" w:name="100083"/>
            <w:bookmarkEnd w:id="8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Набор пилок для ручного лобзика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83" w:name="100084"/>
            <w:bookmarkEnd w:id="8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Совместимость с ручным лобзиком п. 1.3.10.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Количество пилок в упаковке: не менее 10 шт.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5 наборов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84" w:name="100085"/>
            <w:bookmarkEnd w:id="8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набор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85" w:name="100086"/>
            <w:bookmarkEnd w:id="8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1.4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86" w:name="100087"/>
            <w:bookmarkEnd w:id="8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Учебное оборудование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87" w:name="100088"/>
            <w:bookmarkEnd w:id="8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88" w:name="100089"/>
            <w:bookmarkEnd w:id="8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Шлем виртуальной реальности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89" w:name="100090"/>
            <w:bookmarkEnd w:id="8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Шлем виртуальной реальности.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Наличие контроллеров: 2 шт.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Разрешение: не менее 1440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x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1600 на глаз.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Встроенные стереонаушники: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Встроенные микрофоны: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Встроенные камеры: не менее 2 шт.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Возможность беспроводного использования.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90" w:name="100091"/>
            <w:bookmarkEnd w:id="9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91" w:name="100092"/>
            <w:bookmarkEnd w:id="9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1.4.2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92" w:name="100093"/>
            <w:bookmarkEnd w:id="9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Ноутбук виртуальной реальности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93" w:name="100094"/>
            <w:bookmarkEnd w:id="9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Разрешение экрана: не менее 1920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x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1080 пикселей.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 xml:space="preserve">Производительность процессора (по тесту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PassMark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- CPU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BenchMark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http://www.cpubenchmark.net/): не менее 9500 единиц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Производительность графической подсистемы (по тесту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PassMark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Videocard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Bench-mark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http://www.videocardbenchmark.net): не менее 11000 единиц.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Объем оперативной памяти: не менее 8 Гб.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Объем памяти видеокарты: не менее 6 Гб.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Объем твердотельного накопителя: не менее 256 Гб.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Наличие русской раскладки клавиатуры: требуется.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Наличие цифрового видеовыхода, совместимого с поставляемым шлемом виртуальной реальности: требуется.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proofErr w:type="gram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Предустановленная</w:t>
            </w:r>
            <w:proofErr w:type="gram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ОС с графическим пользовательским интерфейсом, обеспечивающая работу распространенных образовательных и общесистемных приложений: требуется.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94" w:name="100095"/>
            <w:bookmarkEnd w:id="9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95" w:name="100096"/>
            <w:bookmarkEnd w:id="9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1.4.3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96" w:name="100097"/>
            <w:bookmarkEnd w:id="9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Фотограмметрическое программное обеспечение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97" w:name="100098"/>
            <w:bookmarkEnd w:id="9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Программное обеспечение для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Рекомендуемое количество: не </w:t>
            </w: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менее 1 лицензии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98" w:name="100099"/>
            <w:bookmarkEnd w:id="9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лицензия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99" w:name="100100"/>
            <w:bookmarkEnd w:id="9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1.4.4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00" w:name="100101"/>
            <w:bookmarkEnd w:id="100"/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Квадрокоптер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, тип 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01" w:name="100102"/>
            <w:bookmarkEnd w:id="10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Форм-фактор: устройство или набор для сборки.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Канал связи управления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квадрокоптером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Максимальная дальность передачи данных: не менее 2 км.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Бесколлекторные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моторы: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Полетный контроллер: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Поддержка оптической системы навигации в помещении: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Модуль фото/видеокамеры разрешением не менее 4К: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Модуль навигации GPS/ГЛОНАСС: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Пульт управления: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Аккумуляторная батарея с зарядным устройством: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Программное приложение для программирования и управления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квадрокоптером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, в том числе для смартфонов: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02" w:name="100103"/>
            <w:bookmarkEnd w:id="10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03" w:name="100104"/>
            <w:bookmarkEnd w:id="10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1.4.5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04" w:name="100105"/>
            <w:bookmarkEnd w:id="104"/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Квадрокоптер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, тип 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05" w:name="100106"/>
            <w:bookmarkEnd w:id="10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Форм-фактор: устройство или набор для сборки.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Канал связи управления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квадрокоптером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Коллекторные моторы: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Полетный контроллер с возможностью </w:t>
            </w: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программирования: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Поддержка оптической системы навигации в помещении: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Модуль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Wi-Fi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видеокамеры: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Камера оптического потока: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Аккумуляторная батарея с зарядным устройством: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Программное приложение для программирования и управления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квадрокоптером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, в том числе для смартфонов.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3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06" w:name="100107"/>
            <w:bookmarkEnd w:id="10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07" w:name="100108"/>
            <w:bookmarkEnd w:id="10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1.4.6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08" w:name="100109"/>
            <w:bookmarkEnd w:id="10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Смартфон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09" w:name="100110"/>
            <w:bookmarkEnd w:id="10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Совместимость с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квадрокоптером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п. 1.4.4.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Диагональ экрана: не менее 6.4.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Разрешение экрана: не менее 2340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x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1080 пикселей.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Встроенная память: не менее 64 ГБ.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Оперативная память: не менее 4 Гб.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Емкость аккумулятора: не менее 4000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мАч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Вес: не более 200 гр.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10" w:name="100111"/>
            <w:bookmarkEnd w:id="11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11" w:name="100112"/>
            <w:bookmarkEnd w:id="11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1.4.7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12" w:name="100113"/>
            <w:bookmarkEnd w:id="11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Практическое пособие для изучения основ механики, кинематики, динамики в начальной и основной школе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13" w:name="100114"/>
            <w:bookmarkEnd w:id="11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Конструктор для практико-ориентированного изучения устройства и принципов работы механических моделей различной степени сложности для глубокого </w:t>
            </w: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погружения в основы инженерии и технологии. Позволяет собирать модели, в том числе с электродвигателем (кран, шагающий механизм, молот, лебедка и т.д.).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3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14" w:name="100115"/>
            <w:bookmarkEnd w:id="11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15" w:name="100116"/>
            <w:bookmarkEnd w:id="11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16" w:name="100117"/>
            <w:bookmarkEnd w:id="11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Оборудование для шахматной зоны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17" w:name="100118"/>
            <w:bookmarkEnd w:id="11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18" w:name="100119"/>
            <w:bookmarkEnd w:id="11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Комплект для обучения шахматам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19" w:name="100120"/>
            <w:bookmarkEnd w:id="11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Шахматы - материал фигур и доски: дерево - не менее 3 комплектов.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Часы шахматные - механические или электронные - не менее 3 шт.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 комплекта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20" w:name="100121"/>
            <w:bookmarkEnd w:id="12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комплект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21" w:name="100122"/>
            <w:bookmarkEnd w:id="12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22" w:name="100123"/>
            <w:bookmarkEnd w:id="122"/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Медиазона</w:t>
            </w:r>
            <w:proofErr w:type="spellEnd"/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23" w:name="100124"/>
            <w:bookmarkEnd w:id="12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24" w:name="100125"/>
            <w:bookmarkEnd w:id="12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Фотоаппарат с объективом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25" w:name="100126"/>
            <w:bookmarkEnd w:id="12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Количество </w:t>
            </w:r>
            <w:proofErr w:type="gram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эффективных</w:t>
            </w:r>
            <w:proofErr w:type="gram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пикселов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: не менее 18 млн.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Разъем для микрофона 3,5 мм: рекомендуется.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Запись видео: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26" w:name="100127"/>
            <w:bookmarkEnd w:id="12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27" w:name="100128"/>
            <w:bookmarkEnd w:id="12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28" w:name="100129"/>
            <w:bookmarkEnd w:id="12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Карта памяти для фотоаппарата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29" w:name="100130"/>
            <w:bookmarkEnd w:id="12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Объем памяти: не менее 64 Гб.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Класс: не ниже 10.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2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30" w:name="100131"/>
            <w:bookmarkEnd w:id="13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31" w:name="100132"/>
            <w:bookmarkEnd w:id="13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32" w:name="100133"/>
            <w:bookmarkEnd w:id="13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Штатив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33" w:name="100134"/>
            <w:bookmarkEnd w:id="13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Максимальная нагрузка: не менее 2 кг.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Максимальная высота съемки: не менее 148 см.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34" w:name="100135"/>
            <w:bookmarkEnd w:id="13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35" w:name="100136"/>
            <w:bookmarkEnd w:id="13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3.4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36" w:name="100137"/>
            <w:bookmarkEnd w:id="13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Микрофон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37" w:name="100138"/>
            <w:bookmarkEnd w:id="13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Длина кабеля: не менее 3 метров.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Возможность подключения к </w:t>
            </w: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ноутбуку/ПК/фотоаппарату: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38" w:name="100139"/>
            <w:bookmarkEnd w:id="13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39" w:name="100140"/>
            <w:bookmarkEnd w:id="13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40" w:name="100141"/>
            <w:bookmarkEnd w:id="14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Оборудование для изучения основ безопасности жизнедеятельности и оказания первой помощи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41" w:name="100142"/>
            <w:bookmarkEnd w:id="14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42" w:name="100143"/>
            <w:bookmarkEnd w:id="14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Тренажер-манекен для отработки сердечно-легочной реанимации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43" w:name="100144"/>
            <w:bookmarkEnd w:id="14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Манекен взрослого или ребенка (торс и голова или в полный рост).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Переключение режимов "взрослый/ребенок": опционально.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Коврик для проведения сердечно-легочной реанимации: наличие.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 комплекта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44" w:name="100145"/>
            <w:bookmarkEnd w:id="14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комплект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45" w:name="100146"/>
            <w:bookmarkEnd w:id="14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46" w:name="100147"/>
            <w:bookmarkEnd w:id="14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47" w:name="100148"/>
            <w:bookmarkEnd w:id="14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Манекен взрослого или ребенка (торс и голова).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Переключение режимов "взрослый/ребенок": опционально.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Устройство должно быть оборудовано имитаторами верхних дыхательных путей и сопряженных органов человека (легких, трахеи, гортани, диафрагменной перегородки).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48" w:name="100149"/>
            <w:bookmarkEnd w:id="14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49" w:name="100150"/>
            <w:bookmarkEnd w:id="14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50" w:name="100151"/>
            <w:bookmarkEnd w:id="15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Набор имитаторов травм и поражений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51" w:name="100152"/>
            <w:bookmarkEnd w:id="15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Набор для демонстрации травм и поражений на манекене или живом человеке, полученных во время дорожно-транспортных происшествий, несчастных случаев, военных действий.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Количество предметов в наборе: не менее 15 шт.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 набора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52" w:name="100153"/>
            <w:bookmarkEnd w:id="15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набор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53" w:name="100154"/>
            <w:bookmarkEnd w:id="15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54" w:name="100155"/>
            <w:bookmarkEnd w:id="15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Шина складная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55" w:name="100156"/>
            <w:bookmarkEnd w:id="15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Шины транспортные </w:t>
            </w:r>
            <w:proofErr w:type="spellStart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иммобилизационные</w:t>
            </w:r>
            <w:proofErr w:type="spellEnd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 xml:space="preserve"> складные </w:t>
            </w: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для рук и ног.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 комплекта.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56" w:name="100157"/>
            <w:bookmarkEnd w:id="15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комплект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57" w:name="100158"/>
            <w:bookmarkEnd w:id="15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4.5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58" w:name="100159"/>
            <w:bookmarkEnd w:id="15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Воротник шейный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59" w:name="100160"/>
            <w:bookmarkEnd w:id="15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60" w:name="100161"/>
            <w:bookmarkEnd w:id="16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61" w:name="100162"/>
            <w:bookmarkEnd w:id="16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4.6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62" w:name="100163"/>
            <w:bookmarkEnd w:id="16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Табельные средства для оказания первой медицинской помощи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63" w:name="100164"/>
            <w:bookmarkEnd w:id="16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Кровоостанавливающие жгуты, перевязочные средства.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Наличие медицинских препаратов в комплекте недопустимо.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 шт.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64" w:name="100165"/>
            <w:bookmarkEnd w:id="16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комплект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65" w:name="100166"/>
            <w:bookmarkEnd w:id="16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66" w:name="100167"/>
            <w:bookmarkEnd w:id="16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Мебель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67" w:name="100168"/>
            <w:bookmarkEnd w:id="16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68" w:name="100169"/>
            <w:bookmarkEnd w:id="16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Комплект мебели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69" w:name="100170"/>
            <w:bookmarkEnd w:id="16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Стол для шахмат: не менее 3 шт.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Стул (табурет) для шахматной зоны: не менее 6 шт.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Стол для проектной деятельности: не менее 3 шт.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Стул для проектной зоны: не менее 6 шт.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Кресло-мешок: не менее 6 шт.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Рекомендуемое количество: не менее 1 комплекта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70" w:name="100171"/>
            <w:bookmarkEnd w:id="17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комплект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71" w:name="100172"/>
            <w:bookmarkEnd w:id="17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72" w:name="100173"/>
            <w:bookmarkEnd w:id="17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Программное обеспечение, распространяемое бесплатно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73" w:name="100174"/>
            <w:bookmarkEnd w:id="17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6.1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74" w:name="100175"/>
            <w:bookmarkEnd w:id="17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Программное обеспечение для 3D-моделирования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75" w:name="100176"/>
            <w:bookmarkEnd w:id="17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Облачный инструмент САПР/АСУП, охватывающий весь процесс работы с изделиями - от проектирования до изготовления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76" w:name="100177"/>
            <w:bookmarkEnd w:id="17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лицензия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77" w:name="100178"/>
            <w:bookmarkEnd w:id="17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6.2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78" w:name="100179"/>
            <w:bookmarkEnd w:id="17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Программное обеспечение для подготовки 3D-моделей к печати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79" w:name="100180"/>
            <w:bookmarkEnd w:id="17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Инструмент для перевода формата файла из одного типа в другой, понятный 3D-принтеру (п. 1.1.1).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Применяется также для масштабирования изделий, расположения на рабочем столе, установки параметров печати и т.д.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80" w:name="100181"/>
            <w:bookmarkEnd w:id="18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лицензия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81" w:name="100182"/>
            <w:bookmarkEnd w:id="18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82" w:name="100183"/>
            <w:bookmarkEnd w:id="18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Иное &lt;1&gt;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83" w:name="100184"/>
            <w:bookmarkEnd w:id="18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lastRenderedPageBreak/>
              <w:t>7.1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84" w:name="100185"/>
            <w:bookmarkEnd w:id="18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Цифровая лаборатория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85" w:name="100186"/>
            <w:bookmarkEnd w:id="18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Лаборатория или комплект датчиков для проведения экспериментов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86" w:name="100187"/>
            <w:bookmarkEnd w:id="18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комплект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87" w:name="100188"/>
            <w:bookmarkEnd w:id="18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7.2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88" w:name="100189"/>
            <w:bookmarkEnd w:id="18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Комплект кабелей и переходников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89" w:name="100190"/>
            <w:bookmarkEnd w:id="18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Кабели, переходники для подключения и коммутации оборудования.</w:t>
            </w:r>
          </w:p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Сетевой удлинитель для подключения оборудования к сети электропитания и др. (по выбору)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90" w:name="100191"/>
            <w:bookmarkEnd w:id="19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комплект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91" w:name="100192"/>
            <w:bookmarkEnd w:id="19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7.3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92" w:name="100193"/>
            <w:bookmarkEnd w:id="19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Робототехническое оборудование для обучения программированию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93" w:name="100194"/>
            <w:bookmarkEnd w:id="19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Для реализации образовательных программ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94" w:name="100195"/>
            <w:bookmarkEnd w:id="19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95" w:name="100196"/>
            <w:bookmarkEnd w:id="19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7.4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96" w:name="100197"/>
            <w:bookmarkEnd w:id="19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Учебная и методическая литература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97" w:name="100198"/>
            <w:bookmarkEnd w:id="19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Для реализации образовательных программ.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98" w:name="100199"/>
            <w:bookmarkEnd w:id="19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комплект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199" w:name="100200"/>
            <w:bookmarkEnd w:id="19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7.5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00" w:name="100201"/>
            <w:bookmarkEnd w:id="20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Комплект комплектующих и расходных материалов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01" w:name="100202"/>
            <w:bookmarkEnd w:id="20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Для реализации образовательных программ.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02" w:name="100203"/>
            <w:bookmarkEnd w:id="20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комплект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03" w:name="100204"/>
            <w:bookmarkEnd w:id="20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7.6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04" w:name="100205"/>
            <w:bookmarkEnd w:id="20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Телекоммуникационное оборудование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05" w:name="100206"/>
            <w:bookmarkEnd w:id="20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Роутеры, коммутаторы.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06" w:name="100207"/>
            <w:bookmarkEnd w:id="20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07" w:name="100208"/>
            <w:bookmarkEnd w:id="20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7.7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08" w:name="100209"/>
            <w:bookmarkEnd w:id="208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Конструкторы для моделирования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09" w:name="100210"/>
            <w:bookmarkEnd w:id="209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Конструкторы робототехнические и прочие.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10" w:name="100211"/>
            <w:bookmarkEnd w:id="210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шт.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11" w:name="100212"/>
            <w:bookmarkEnd w:id="211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7.8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12" w:name="100213"/>
            <w:bookmarkEnd w:id="212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Мебель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13" w:name="100214"/>
            <w:bookmarkEnd w:id="213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Столы, стулья, стеллажи, тумбы для организации образовательного процесса.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14" w:name="100215"/>
            <w:bookmarkEnd w:id="214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комплект</w:t>
            </w:r>
          </w:p>
        </w:tc>
      </w:tr>
      <w:tr w:rsidR="004E3E1F" w:rsidRPr="004E3E1F" w:rsidTr="004E3E1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15" w:name="100216"/>
            <w:bookmarkEnd w:id="215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7.9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16" w:name="100217"/>
            <w:bookmarkEnd w:id="216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Программное обеспечение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bookmarkStart w:id="217" w:name="100218"/>
            <w:bookmarkEnd w:id="217"/>
            <w:r w:rsidRPr="004E3E1F"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  <w:t>Программное обеспечение, необходимое для организации образовательного процесса, в том числе пакет офисных программ.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E3E1F" w:rsidRPr="004E3E1F" w:rsidRDefault="004E3E1F" w:rsidP="004E3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56E39" w:rsidRDefault="00856E39"/>
    <w:sectPr w:rsidR="00856E39" w:rsidSect="00856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monospace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E3E1F"/>
    <w:rsid w:val="00032A36"/>
    <w:rsid w:val="001D3FC1"/>
    <w:rsid w:val="004633CD"/>
    <w:rsid w:val="004D584E"/>
    <w:rsid w:val="004E3E1F"/>
    <w:rsid w:val="007371AC"/>
    <w:rsid w:val="00856E39"/>
    <w:rsid w:val="00900FE2"/>
    <w:rsid w:val="00955072"/>
    <w:rsid w:val="009E3B95"/>
    <w:rsid w:val="00B6717D"/>
    <w:rsid w:val="00C82446"/>
    <w:rsid w:val="00CE74ED"/>
    <w:rsid w:val="00D41345"/>
    <w:rsid w:val="00F46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E3E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3E1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4E3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4E3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E3E1F"/>
    <w:rPr>
      <w:color w:val="0000FF"/>
      <w:u w:val="single"/>
    </w:rPr>
  </w:style>
  <w:style w:type="paragraph" w:customStyle="1" w:styleId="pright">
    <w:name w:val="pright"/>
    <w:basedOn w:val="a"/>
    <w:rsid w:val="004E3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7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ru/doc/rasporjazhenie-minprosveshchenija-rossii-ot-15012020-n-r-5-o-vnesenii/" TargetMode="External"/><Relationship Id="rId4" Type="http://schemas.openxmlformats.org/officeDocument/2006/relationships/hyperlink" Target="https://legalacts.ru/doc/rasporjazhenie-minprosveshchenija-rossii-ot-17122019-n-r-133-ob-utverzhden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2340</Words>
  <Characters>13343</Characters>
  <Application>Microsoft Office Word</Application>
  <DocSecurity>0</DocSecurity>
  <Lines>111</Lines>
  <Paragraphs>31</Paragraphs>
  <ScaleCrop>false</ScaleCrop>
  <Company/>
  <LinksUpToDate>false</LinksUpToDate>
  <CharactersWithSpaces>15652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2023-04-14T06:41:00Z</dcterms:created>
  <dcterms:modified xsi:type="dcterms:W3CDTF">2023-04-14T06:41:00Z</dcterms:modified>
</cp:coreProperties>
</file>